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Общая врачебная практика (семейная медицина)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68 лет, обратилась к участковому врачу-терапевту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ноющие боли в области грудины, которые возникают при быстрой ходьбе или подъеме по лестнице более 2 пролетов и проходят после 5-минутного отдыха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Вышеуказанные жалобы беспокоят в течение последних 3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</w:t>
        <w:br/>
        <w:t>*</w:t>
        <w:tab/>
        <w:t>не курит, алкоголем не злоупотребляет</w:t>
        <w:br/>
        <w:t>*</w:t>
        <w:tab/>
        <w:t>профессиональных вредностей не имела</w:t>
        <w:br/>
        <w:t>*</w:t>
        <w:tab/>
        <w:t>аллергических реакций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75 кг. Кожные покровы обычной окраски и влажности. Периферических отеков нет. Щитовидная железа не визуализируется и не пальпируется. Дыхание везикулярное, хрипов нет. ЧДД 14 в 1 мин. Тоны сердца ясные, ритмичные. ЧСС 84 в 1 мин, АД 175/105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регистрация ЭКГ в 12 отведениях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амбулаторное (суточное) мониторирование АД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трансторакальное эхокардиографическое исследование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амбулаторное (суточное) мониторирование ЭКГ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нагрузочная проба под визуальным контролем (стресс-ЭхоКГ)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регистрация ЭКГ в 12 отведениях; трансторакальное эхокардиографическое исследование; нагрузочная проба под визуальным контролем (стресс-ЭхоКГ)</w:t>
      </w:r>
    </w:p>
    <w:p>
      <w:pPr>
        <w:ind w:left="504"/>
      </w:pPr>
      <w:r>
        <w:rPr>
          <w:b w:val="0"/>
          <w:i/>
        </w:rPr>
        <w:t>Всем пациентам с подозрением на ИБС при обращении к врачу рекомендуется выполнить электрокардиографию (ЭКГ) в покое.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эхокардиограмма в покое рекомендуется всем пациентам с подозрением на стабильную ИБС и при ранее доказанной стабильной ИБС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пациентов с промежуточной ПТВ диагноза ИБС (15–65%) направлять на дополнительные неинвазивные нагрузочные и визуализирующие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липидного спектра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уровня креатинина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высокочувствительного тропонина 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калия в сыворотке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тиреоидных гормонов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липидного спектра крови; определение уровня креатинина в крови; клинический анализ крови</w:t>
      </w:r>
    </w:p>
    <w:p>
      <w:pPr>
        <w:ind w:left="504"/>
      </w:pPr>
      <w:r>
        <w:rPr>
          <w:b w:val="0"/>
          <w:i/>
        </w:rPr>
        <w:t>Всем пациентам рекомендуется провести исследование липидного спектра крови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рекомендуется провести исследование уровня креатинина крови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рекомендуется проводить общий анализ крови с измерением уровней гемоглобина, эритроцитов и лейкоцитов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Жалобы пациента соответствуют клинической картине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Атипичной стенокардии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Перикардитической боли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Типичной стенокардии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Кардиалгии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Типичной стенокардии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1) боль в области грудины, которая +</w:t>
        <w:br/>
        <w:t>2) возникает во время физической нагрузки, либо сильного эмоционального стресса и +</w:t>
        <w:br/>
        <w:t>3) быстро исчезает после прекращения физической нагрузки либо после приема нитроглицерина.</w:t>
        <w:br/>
        <w:br/>
        <w:t>Для подтверждения диагноза типичной (несомненной) стенокардии необходимо наличие у пациента всех трех вышеперечисленных признаков одновременно. Эквивалентом физической нагрузки может быть кризовое повышение артериального давления (АД) с увеличением нагрузки на миокард, а также обильный прием пищи.</w:t>
        <w:br/>
        <w:br/>
        <w:t>Диагноз атипичной стенокардии ставится, если у пациента присутствуют любые два из трех вышеперечисленных признаков типичной стенокардии.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Жалобы пациента позволяют диагностировать стенокардию напряжения +______+ функционального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Приступы стенокардии возникают при быстрой ходьбе и подъеме по лестнице более 2 пролетов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Сопутствующим заболеванием служит гипертоническая болезнь +_____________________+ стадии. Сердечно-сосудистый риск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III; очень высокий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II; очень высокий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II; высокий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III; высокий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III; очень высокий</w:t>
      </w:r>
    </w:p>
    <w:p>
      <w:pPr>
        <w:ind w:left="504"/>
      </w:pPr>
      <w:r>
        <w:rPr>
          <w:b w:val="0"/>
          <w:i/>
        </w:rPr>
        <w:t>Диагноз ГБ III стадии устанавливается при наличии ССЗ, ЦВБ, ХБП.</w:t>
        <w:br/>
        <w:br/>
        <w:t>АГ 2-й степени соответствует уровень офисного САД 160–179 мм рт. ст. и/или ДАД 100–109 мм рт. ст.</w:t>
        <w:br/>
        <w:br/>
        <w:t>При наличии ИБС общий сердечно-сосудистый риска у больных АГ расценивается как очень высокий</w:t>
        <w:br/>
        <w:br/>
      </w:r>
      <w:hyperlink r:id="rId19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стартовой антиангинальной и антигипертензивной терапии можно назначить комбинацию +_______________+  5 мг 1 раз в день и _____ раз(-а)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бисопролола; верапамила 40 мг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бисопролола; нитросорбида 10 мг 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амлодипина; периндоприла 5 мг 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бисопролола; периндоприла 5 мг 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бисопролола; периндоприла 5 мг 1</w:t>
      </w:r>
    </w:p>
    <w:p>
      <w:pPr>
        <w:ind w:left="504"/>
      </w:pPr>
      <w:r>
        <w:rPr>
          <w:b w:val="0"/>
          <w:i/>
        </w:rPr>
        <w:t>Пациентам с АГ и ИБС рекомендуется применять препараты с документально подтвержденными благоприятными эффектами при ИБС, такие как ИАПФ (БРА, если они не переносятся) и Бета-блокаторы.</w:t>
        <w:br/>
        <w:br/>
      </w:r>
      <w:hyperlink r:id="rId19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сохранении приступов стенокардии на фоне целевой ЧСС к терапии можно добавить +_____________+ мг +______+ раза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дилтиазем 60; 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нитросорбид 10; 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дилтиазем 120; 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верапамил 40; 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нитросорбид 10; 2</w:t>
      </w:r>
    </w:p>
    <w:p>
      <w:pPr>
        <w:ind w:left="504"/>
      </w:pPr>
      <w:r>
        <w:rPr>
          <w:b w:val="0"/>
          <w:i/>
        </w:rPr>
        <w:t>При недостаточной эффективности препаратов 1-й линии у пациентов со стабильной стенокардией рекомендуется добавить к лечению один из препаратов 2-й линии (органические нитраты или ивабрадин**, или триметазидин, ранолазин, или никорандил) — в зависимости от АД, ЧСС и переносимости профилактики приступов стенокардии и достижения ФК I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профилактики сердечно-сосудистых осложнений пациентке назначена ацетилсалициловая кислота в дозе 100 мг 1 р/сутки, а также назначен статин (аторвастатин) в дозе, обеспечивающей уровень ХС ЛПНП не выше +_____+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1,4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Прием  статина требует контроля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ГГТП, ЩФ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креатинина, мочевой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АСТ, АЛТ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электролитов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АСТ, АЛТ</w:t>
      </w:r>
    </w:p>
    <w:p>
      <w:pPr>
        <w:ind w:left="504"/>
      </w:pPr>
      <w:r>
        <w:rPr>
          <w:b w:val="0"/>
          <w:i/>
        </w:rPr>
        <w:t>Активность в плазме крови аланинаминотрасферазы (АЛТ) и аспартатаминотрансферазы (АСТ) практикующие врачи часто используют для оценки функциональных нарушений печени (референсные значения аминотрансфераз – у женщин &lt;40 Ед/л, у мужчин &lt;40 Ед/л). При заболеваниях печени по АЛТ судят об активности поражения: минимальная активность – повышение в 1,5-4 раза, умеренная активность – повышение в 5-10 раз, высокая активность – ≥ 10 раз.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данной клинической ситуации (АСТ, АЛТ увеличены в пределах 2-х норм) прием статина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заменить на эзетимиб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продолжить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отменить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продолжить в сниженной дозе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</w:t>
      </w:r>
    </w:p>
    <w:p>
      <w:pPr>
        <w:ind w:left="504"/>
      </w:pPr>
      <w:r>
        <w:rPr>
          <w:b w:val="0"/>
          <w:i/>
        </w:rPr>
        <w:t>Действия врача при выявлении повышенного уровня АЛТ на фоне гиполипидемической терапии: повышение АЛТ &lt; 3 N - продолжить гиполипидемическую терапию, повторный контроль АЛТ через 4–6 нед.</w:t>
        <w:br/>
        <w:br/>
      </w:r>
      <w:hyperlink r:id="rId27">
        <w:r>
          <w:rPr>
            <w:color w:val="0F766E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продолжении терапии статинами на фоне повышеннных до 3-х норм АСТ, АЛТ необходимо проконтролировать  эти показатели через +_____+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</w:t>
      </w:r>
    </w:p>
    <w:p>
      <w:pPr>
        <w:ind w:left="504"/>
      </w:pPr>
      <w:r>
        <w:rPr>
          <w:b w:val="0"/>
          <w:i/>
        </w:rPr>
        <w:t>Если AЛT &lt;3 ВГН, следует:</w:t>
        <w:br/>
        <w:br/>
        <w:t>- Продолжать терапию.</w:t>
        <w:br/>
        <w:br/>
        <w:t>- Повторный контроль АЛТ через 4-6 недель.</w:t>
        <w:br/>
        <w:br/>
      </w:r>
      <w:hyperlink r:id="rId27">
        <w:r>
          <w:rPr>
            <w:color w:val="0F766E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случае, когда у пациентов не удается достичь целевой уровень ХС ЛНП  на монотерапии статинами, следует прибегнуть к комбинированной терапии, добавляя к статинам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сибутрамин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цетуксимаб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лираглутид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эзетимиб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эзетимиб</w:t>
      </w:r>
    </w:p>
    <w:p>
      <w:pPr>
        <w:ind w:left="504"/>
      </w:pPr>
      <w:r>
        <w:rPr>
          <w:b w:val="0"/>
          <w:i/>
        </w:rPr>
        <w:t>При невозможности достижения у пациентов со стабильной ИБС целевого уровня ХсЛНП (&lt;1,4 ммоль/л) и его снижения на 50% от исходного уровня на фоне максимальных переносимых доз ингибиторов ГМГ-КоА-редуктазы, или у пациентов с непереносимостью ингибиторов ГМГ-КоА-редуктазы, рекомендуется к лечению добавить эзетимиб для профилактики ССО.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Общая врачебная практика (семейная медицина)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терапевт-участковый прибыл к пациентке 54-х лет на 6-ой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одышку, чувство «заложенности» в груди, кашель со скудной мокротой, повышение температуры тела, выраженную слабость, общее недомогание, потерю обоняния и вкуса.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Заболела остро с появления озноба, общего недомогания, температура повысилась до 37,8℃. Беспокоили мышечные боли, ломота в суставах.</w:t>
      </w:r>
    </w:p>
    <w:p>
      <w:pPr>
        <w:spacing w:after="58"/>
      </w:pPr>
      <w:r>
        <w:rPr>
          <w:b w:val="0"/>
          <w:i w:val="0"/>
        </w:rPr>
        <w:t>* К исходу первого дня появились сухой кашель, першение в ротоглотке, незначительные выделения из носа; беспокоила головная боль, отметила снижение аппетита.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жаропонижающие препараты (парацетамол), бромгексин. В течение последующих дней самочувствие ухудшилось: температура тела наросла до 38,7℃, отметила появление высыпаний на коже груди и нарушения обоняния и вкуса (не ощущала запах и вкус знакомой пищи), усилились кашель и одышка, отметила чувство «заложенности» в груди.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Бухгалтер в частной компании.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Перенесенные заболевания: сахарный диабет II типа (принимает метформин), гипертоническая болезнь, II стадии (принимает эналаприл), болеет респираторными инфекциями 2-3 раза в год.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Эпиданамнез: за пределы страны и домашнего региона не выезжала. Была в контакте с болеющей дочерью и зятем (болели ОРЗ, перенесли заболевание «на ногах», в мед.учреждение не обращались).</w:t>
      </w:r>
    </w:p>
    <w:p>
      <w:pPr>
        <w:spacing w:after="58"/>
      </w:pPr>
      <w:r>
        <w:rPr>
          <w:b w:val="0"/>
          <w:i w:val="0"/>
        </w:rPr>
        <w:t>* Прививочный анамнез: вакцинирована от сезонного гриппа.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38,8°С.</w:t>
      </w:r>
    </w:p>
    <w:p>
      <w:pPr>
        <w:spacing w:after="58"/>
      </w:pPr>
      <w:r>
        <w:rPr>
          <w:b w:val="0"/>
          <w:i w:val="0"/>
        </w:rPr>
        <w:t>* Пациентка гиперстенического телосложения. ИМТ-34. Кожные покровы умеренной влажности, в области передней поверхности грудной клетки визуализируются множественные элементы уртикарной сыпи.</w:t>
      </w:r>
    </w:p>
    <w:p>
      <w:r>
        <w:drawing>
          <wp:inline xmlns:a="http://schemas.openxmlformats.org/drawingml/2006/main" xmlns:pic="http://schemas.openxmlformats.org/drawingml/2006/picture">
            <wp:extent cx="5303520" cy="341710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0f8a7111063c111a35753c05bd0f42dd95677af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71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 Слизистая оболочка ротоглотки (дужек, миндалин, язычка) умеренно гиперемирована, миндалины не увеличены, налетов нет. Слизистая задней стенки ротоглотки разрыхлена, с набухшими фолликулами. Незначительные выделение из носовых ходов, серозного характера.</w:t>
      </w:r>
    </w:p>
    <w:p>
      <w:pPr>
        <w:spacing w:after="58"/>
      </w:pPr>
      <w:r>
        <w:rPr>
          <w:b w:val="0"/>
          <w:i w:val="0"/>
        </w:rPr>
        <w:t>* Лимфатические узлы не увеличены.</w:t>
      </w:r>
    </w:p>
    <w:p>
      <w:pPr>
        <w:spacing w:after="58"/>
      </w:pPr>
      <w:r>
        <w:rPr>
          <w:b w:val="0"/>
          <w:i w:val="0"/>
        </w:rPr>
        <w:t>* Умеренная одышка при физической нагрузке. В легких дыхание жесткое, выслушиваются сухие и влажные хрипы с обеих сторон. ЧДД – 28 в мин.</w:t>
      </w:r>
    </w:p>
    <w:p>
      <w:pPr>
        <w:spacing w:after="58"/>
      </w:pPr>
      <w:r>
        <w:rPr>
          <w:b w:val="0"/>
          <w:i w:val="0"/>
        </w:rPr>
        <w:t>* АД-100/60 мм рт. ст, ЧСС –92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 Мочеиспускание не нарушено. Стула не было в течение суток.</w:t>
      </w:r>
    </w:p>
    <w:p>
      <w:pPr>
        <w:spacing w:after="58"/>
      </w:pPr>
      <w:r>
        <w:rPr>
          <w:b w:val="0"/>
          <w:i w:val="0"/>
        </w:rPr>
        <w:t>* В сознании, адекватна. Ориентирована в месте и времени. Очаговой и менингеальной симптоматики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 данной больной для выявления этиологического фактора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иммуноферментный анализ (ИФА) сыворотки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ПЦР-диагностика мазка из ротоглотки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иммунофлюоресценции мазков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иммунохроматографический экспресс-метод определения антигенов вируса в кале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иммуноферментный анализ (ИФА) сыворотки крови; ПЦР-диагностика мазка из ротоглотки</w:t>
      </w:r>
    </w:p>
    <w:p>
      <w:pPr>
        <w:ind w:left="504"/>
      </w:pPr>
      <w:r>
        <w:rPr>
          <w:b w:val="0"/>
          <w:i/>
        </w:rPr>
        <w:t>Выявление иммуноглобулинов классов А, M, G (IgА, IgM и IgG) к SARS-CoV-2 (в том числе к рецептор-связывающему домену поверхностного гликопротеина S).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Прямые методы этиологической диагностики</w:t>
        <w:br/>
        <w:t>Выявление РНК SARS-CoV-2 с применением МАНК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ПЦР-диагностика мазка из ротоглотки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A/H1N1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hRSv - Respiratory Syncytial 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hCov - Coronavirus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SARS‑CoV‑2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hPiv - Parainfluenza virus 1, 2, 3, 4 типов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3.2. Иммуноферментный анализ (ИФА) сыворотки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IgA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3.5. Иммунохроматографический экспресс-метод определения антигенов вируса в кале</w:t>
      </w:r>
    </w:p>
    <w:p>
      <w:pPr>
        <w:spacing w:after="58"/>
      </w:pPr>
      <w:r>
        <w:rPr>
          <w:b w:val="0"/>
          <w:i w:val="0"/>
        </w:rPr>
        <w:t>Результат отрицательный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данные клинико-лабораторного обследования,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Аденовирусная инфекция, типичное течение, осложненная двусторонней пневмонией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Респираторно-синцитиальная инфекция, токсико-аллергическая реакция на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Коронавирусная инфекция, осложненная двусторонней пневмонией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Парвовирусная инфекция, типичное течение, инфекционная эритема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Коронавирусная инфекция, осложненная двусторонней пневмонией</w:t>
      </w:r>
    </w:p>
    <w:p>
      <w:pPr>
        <w:ind w:left="504"/>
      </w:pPr>
      <w:r>
        <w:rPr>
          <w:b w:val="0"/>
          <w:i/>
        </w:rPr>
        <w:t>Учитывая острое начало заболевания с интоксикационного синдрома (озноб, лихорадка, головная боль, мышечные боли); присоединение катарального синдрома (сухой кашель, першение в ротоглотке, умеренная ринорея); присоединение признаков аносмии и дисгевзии (нарушение обоняния и вкуса); появление на 6-й день дыхательной недостаточности (чувство «заложенности» в груди, одышка); данные объективного осмотра (изменения в ротоглотке, наличие сухих и влажных хрипов с обеих сторон, ЧДД – 28 в мин., наличие уртикарной сыпи по типу крапивницы, данных лабораторного исследований (обнаружение генетического материала и антител Ig M к SARS-CoV-2), а также данных эпидемиологического анамнеза (контакт с лицами, перенесшими ОРЗ), можно думать о диагнозе «Коронавирусная инфекция, вызванная COVID-19, подтвержденная». Наличие двусторонних сухих и влажных хрипов, одышки при физической нагрузке на 6-й день болезни на фоне усиления интоксикационного синдрома, нельзя исключить присоединение вирусной пневмонии. Требуется проведение инструментальных методов исследования.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Коронавирусная инфекция, осложненная двусторонней пневмонией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выраженности гипоксемии и выявления дыхательной недостаточности, больной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пикфлоуметрию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пневмотахометрию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пульсоксиметрию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пульсоксиметрию</w:t>
      </w:r>
    </w:p>
    <w:p>
      <w:pPr>
        <w:ind w:left="504"/>
      </w:pPr>
      <w:r>
        <w:rPr>
          <w:b w:val="0"/>
          <w:i/>
        </w:rPr>
        <w:t>Пульсоксиметрия с измерением SpO2 для выявления дыхательной недостаточности и оценки выраженности гипоксемии является простым и надежным скрининговым методом, позволяющим выявлять пациентов с гипоксемией, нуждающихся в респираторной поддержке, и оценивать ее эффективность. Пациентам с признаками острой дыхательной недостаточности (ОДН) (SрO2 менее 90%) рекомендуется исследование газов артериальной крови с определением PaO2, PaCO2, pH, бикарбонатов, лактата.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обследовании у больной выявлен уровень SрO2 - 94%. СРБ сыворотки крови- 20 мг/л. Учитывая клинико-лабораторные данные, следует расценить течение заболевания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</w:t>
      </w:r>
    </w:p>
    <w:p>
      <w:pPr>
        <w:ind w:left="504"/>
      </w:pPr>
      <w:r>
        <w:rPr>
          <w:b w:val="0"/>
          <w:i/>
        </w:rPr>
        <w:t>Классификация COVID-19 по степени тяжести</w:t>
        <w:br/>
        <w:br/>
        <w:t>*Легкое течение*</w:t>
        <w:br/>
        <w:br/>
        <w:t>* Т тела &lt; 38 °C, кашель, слабость, боли в горле</w:t>
        <w:br/>
        <w:br/>
        <w:t>* Отсутствие критериев среднетяжелого и тяжелого течения</w:t>
        <w:br/>
        <w:br/>
        <w:t>*Среднетяжелое течение*</w:t>
        <w:br/>
        <w:br/>
        <w:t>* Т тела &gt; 38 °C</w:t>
        <w:br/>
        <w:br/>
        <w:t>* ЧДД &gt; 22/мин</w:t>
        <w:br/>
        <w:br/>
        <w:t>* Одышка при физических нагрузках</w:t>
        <w:br/>
        <w:br/>
        <w:t>* Изменения при КТ (рентгенографии), типичные для вирусного поражения (объем поражения минимальный или средний; КТ 1-2)</w:t>
        <w:br/>
        <w:br/>
        <w:t>* SpO2 &lt; 95%</w:t>
        <w:br/>
        <w:br/>
        <w:t>* СРБ сыворотки крови &gt;10 мг/л</w:t>
        <w:br/>
        <w:br/>
        <w:t>*Тяжелое течение*</w:t>
        <w:br/>
        <w:br/>
        <w:t>* ЧДД &gt; 30/мин</w:t>
        <w:br/>
        <w:br/>
        <w:t>* SpO2 ≤ 93%</w:t>
        <w:br/>
        <w:br/>
        <w:t>* PaO2 /FiO2 ≤ 300 мм рт.ст.</w:t>
        <w:br/>
        <w:br/>
        <w:t>* Снижение уровня сознания, ажитация</w:t>
        <w:br/>
        <w:br/>
        <w:t>* Нестабильная гемодинамика (систолическое АД менее 90 мм рт.ст. или диастолическое АД менее 60 мм рт.ст., диурез менее 20 мл/час)</w:t>
        <w:br/>
        <w:br/>
        <w:t>* Изменения в легких при КТ (рентгенографии), типичные для вирусного поражения (объем поражения значительный или субтотальный; КТ 3-4)</w:t>
        <w:br/>
        <w:br/>
        <w:t>* Лактат артериальной крови &gt; 2 ммоль/л</w:t>
        <w:br/>
        <w:br/>
        <w:t>* qSOFA &gt; 2 балла</w:t>
        <w:br/>
        <w:br/>
        <w:t>*Крайне тяжелое течение*</w:t>
        <w:br/>
        <w:br/>
        <w:t>* Стойкая фебрильная лихорадка</w:t>
        <w:br/>
        <w:br/>
        <w:t>* ОРДС</w:t>
        <w:br/>
        <w:br/>
        <w:t>* ОДН с необходимостью респираторной поддержки (инвазивная вентиляции легких)</w:t>
        <w:br/>
        <w:br/>
        <w:t>* Септический шок</w:t>
        <w:br/>
        <w:br/>
        <w:t>* Полиорганная недостаточность</w:t>
        <w:br/>
        <w:br/>
        <w:t>* Изменения в легких при КТ (рентгенографии), типичные для вирусного поражения критической степени (объем поражения значительный или субтотальный; КТ 4) или картина ОРДС.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первичной оценки состояния органов грудной клетки у пациентов с прогрессирующими формами заболевания коронавирусной инфекцией целесообразно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крупнокадровой флюорографии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КТангиопульмонографии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</w:t>
      </w:r>
    </w:p>
    <w:p>
      <w:pPr>
        <w:ind w:left="504"/>
      </w:pPr>
      <w:r>
        <w:rPr>
          <w:b w:val="0"/>
          <w:i/>
        </w:rPr>
        <w:t>КТ имеет высокую чувствительность в выявлении изменений в легких, характерных для COVID-19. Применение КТ целесообразно для первичной оценки состояния ОГК у пациентов с тяжелыми прогрессирующими формами заболевания, а также для дифференциальной диагностики выявленных изменений и оценки динамики процесса. КТ позволяет выявить характерные изменения в легких у пациентов с COVID-19 еще до появления положительных лабораторных тестов на инфекцию с помощью МАНК. В то же время, КТ выявляет изменения легких у значительного числа пациентов с бессимптомной и легкой формами заболевания, которым не требуется госпитализация.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Характерными изменениями в периферической крови при коронавирусной 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нейтрофиллез и анэозинофилия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лимфопения и тромбоцитопения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лимфоцитоз и тромбоцитоз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нейтропения и абсолютный лимфомоноцитоз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лимфопения и тромбоцитопения</w:t>
      </w:r>
    </w:p>
    <w:p>
      <w:pPr>
        <w:ind w:left="504"/>
      </w:pPr>
      <w:r>
        <w:rPr>
          <w:b w:val="0"/>
          <w:i/>
        </w:rPr>
        <w:t>У большинства пациентов с COVID-19 наблюдается нормальное число лейкоцитов, у одной трети обнаруживается лейкопения, лимфопения присутствует у 83,2% пациентов. Тромбоцитопения носит умеренный характер, но более отчетлива при тяжелом течении и у лиц, умерших от COVID-19.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Типичным патогенетическим осложнением новой коронавирусной инфекции COVID-19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гнойный менингоэнцефалит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острый респираторный дистресс-синдром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острая почечно-печеночная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тромбоз мезентериальных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респираторный дистресс-синдром</w:t>
      </w:r>
    </w:p>
    <w:p>
      <w:pPr>
        <w:ind w:left="504"/>
      </w:pPr>
      <w:r>
        <w:rPr>
          <w:b w:val="0"/>
          <w:i/>
        </w:rPr>
        <w:t>Гиперактивация иммунного ответа при COVID-19 часто ограничивается легочной паренхимой, прилегающей бронхиальной и альвеолярной лимфоидной тканью и ассоциируется с развитием ОРДС.</w:t>
        <w:br/>
        <w:br/>
        <w:t>Цитокиновый шторм при COVID-19, как правило, приводит к развитию ОРДС, полиорганной недостаточности и может быть причиной летального исхода.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препаратам с прямым противовирусным действием в рекомендованных схемах лечения больных новой коронавирусной инфекцией COVID-19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интерферон-бета1b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фавипиравир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фавипиравир</w:t>
      </w:r>
    </w:p>
    <w:p>
      <w:pPr>
        <w:ind w:left="504"/>
      </w:pPr>
      <w:r>
        <w:rPr>
          <w:b w:val="0"/>
          <w:i/>
        </w:rPr>
        <w:t>В настоящее время следует выделить несколько препаратов, которые могут быть использованы при лечении COVID-19: фавипиравир, ремдесивир, умифеновир и интерферон-альфа.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рекомендованных схемах лечения при среднетяжелом течении новой коронавирусной инфекции COVID-19 в стационарных условиях фавипиравир может назначаться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рекомбинантным интерлейкином-2 человека (рИЛ-2)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левилимабом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умифеновиром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интерфероном бета-1b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левилимабом</w:t>
      </w:r>
    </w:p>
    <w:p>
      <w:pPr>
        <w:ind w:left="504"/>
      </w:pPr>
      <w:r>
        <w:rPr>
          <w:b w:val="0"/>
          <w:i/>
        </w:rPr>
        <w:t>Рекомендованные схемы лечения в зависимости от тяжести заболевания Схема 1.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с гипертонической болезнью, получающей эналаприл (препараты из группы ингибиторов АПФ) при коронавирусной инфекции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полностью прервать прием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уменьшить дозу препарата в два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продолжить прием препарата в той же дозировке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увеличить дозу препарата в два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прием препарата в той же дозировке</w:t>
      </w:r>
    </w:p>
    <w:p>
      <w:pPr>
        <w:ind w:left="504"/>
      </w:pPr>
      <w:r>
        <w:rPr>
          <w:b w:val="0"/>
          <w:i/>
        </w:rPr>
        <w:t>Особые группы пациентов.</w:t>
        <w:br/>
        <w:br/>
        <w:t>Больные с артериальной гипертензией.</w:t>
        <w:br/>
        <w:br/>
        <w:t>В связи с тем, что АПФ2 является функциональным рецептором для SARS-CoV-2, было высказано предположение, что это может объяснять высокий риск летального исхода при COVID-19 у пациентов с артериальной гипертензией, получающих препараты из группы ингибиторов АПФ или блокаторов рецепторов к ангиотензину. Эти опасения носили гипотетический характер и не получили практического подтверждения. Более того, имеются косвенные данные о возможном протективном действии этих препаратов при COVID-19. Экспертами Европейского общества кардиологов опубликовано заявление о том, что данных о неблагоприятных эффектах этих препаратов на течение COVID-19 нет, их прием настоятельно рекомендуется продолжать.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полной реконвалесценции пациентки, возобновление приема метформина возможно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Особые группы пациентов. Больные сахарным диабетом</w:t>
        <w:br/>
        <w:br/>
        <w:t>При выписке пациентов из стационара:</w:t>
        <w:br/>
        <w:br/>
        <w:t>* Предусмотреть обеспечение пациентов препаратами инсулина на время самоизоляции;</w:t>
        <w:br/>
        <w:br/>
        <w:t>* Возможно возобновить прием метформина, арГПП-1, иНГЛТ2 через 2 недели в случае полной реконвалесценции пациента.</w:t>
        <w:br/>
        <w:br/>
        <w:t>* Продолжение антикоагулянтов до полного выздоровления.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рекомендованных схемах для медикаментозной профилактики COVID19 у лиц из группы риска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ламивудин/ритонавир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рекомбинантный ИФН-α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осельтамивир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фавипиравир/барицитиниб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рекомбинантный ИФН-α</w:t>
      </w:r>
    </w:p>
    <w:p>
      <w:pPr>
        <w:ind w:left="504"/>
      </w:pPr>
      <w:r>
        <w:rPr>
          <w:b w:val="0"/>
          <w:i/>
        </w:rPr>
        <w:t>Пациенты с сахарным диабетом должны тщательно следовать рекомендациям по профилактике заболевания COVID-19.</w:t>
        <w:br/>
        <w:br/>
        <w:t>В качестве специфической профилактики рекомендовано применение препаратов альфа-интерферона.</w:t>
        <w:br/>
        <w:br/>
      </w:r>
      <w:hyperlink r:id="rId31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5_24/" TargetMode="External"/><Relationship Id="rId10" Type="http://schemas.openxmlformats.org/officeDocument/2006/relationships/hyperlink" Target="https://library.mededtech.ru/rest/documents/KP155_24/#list_item_udpfta" TargetMode="External"/><Relationship Id="rId11" Type="http://schemas.openxmlformats.org/officeDocument/2006/relationships/hyperlink" Target="https://library.mededtech.ru/rest/documents/KP155_24/#list_item_2p39pm" TargetMode="External"/><Relationship Id="rId12" Type="http://schemas.openxmlformats.org/officeDocument/2006/relationships/hyperlink" Target="https://library.mededtech.ru/rest/documents/KP155_24/#list_item_j6flg9" TargetMode="External"/><Relationship Id="rId13" Type="http://schemas.openxmlformats.org/officeDocument/2006/relationships/hyperlink" Target="https://library.mededtech.ru/rest/documents/KP155_24/#list_item_n1i1eo" TargetMode="External"/><Relationship Id="rId14" Type="http://schemas.openxmlformats.org/officeDocument/2006/relationships/hyperlink" Target="https://library.mededtech.ru/rest/documents/KP155_24/#list_item_ike75r" TargetMode="External"/><Relationship Id="rId15" Type="http://schemas.openxmlformats.org/officeDocument/2006/relationships/hyperlink" Target="https://library.mededtech.ru/rest/documents/KP155_24/#list_item_du74n4" TargetMode="External"/><Relationship Id="rId16" Type="http://schemas.openxmlformats.org/officeDocument/2006/relationships/hyperlink" Target="https://library.mededtech.ru/rest/documents/KP155_24/#list_item_f77pd5" TargetMode="External"/><Relationship Id="rId17" Type="http://schemas.openxmlformats.org/officeDocument/2006/relationships/hyperlink" Target="https://library.mededtech.ru/rest/documents/KP155_24/#paragraph_sato36" TargetMode="External"/><Relationship Id="rId18" Type="http://schemas.openxmlformats.org/officeDocument/2006/relationships/hyperlink" Target="https://library.mededtech.ru/rest/documents/KP155_24/#table&#1055;&#1040;3-1" TargetMode="External"/><Relationship Id="rId19" Type="http://schemas.openxmlformats.org/officeDocument/2006/relationships/hyperlink" Target="https://library.mededtech.ru/rest/documents/KP62_24/" TargetMode="External"/><Relationship Id="rId20" Type="http://schemas.openxmlformats.org/officeDocument/2006/relationships/hyperlink" Target="https://library.mededtech.ru/rest/documents/KP62_24/#paragraph_02knai" TargetMode="External"/><Relationship Id="rId21" Type="http://schemas.openxmlformats.org/officeDocument/2006/relationships/hyperlink" Target="https://library.mededtech.ru/rest/documents/KP62_24/#image_8f2fuc" TargetMode="External"/><Relationship Id="rId22" Type="http://schemas.openxmlformats.org/officeDocument/2006/relationships/hyperlink" Target="https://library.mededtech.ru/rest/documents/KP62_24/#list_item_nmus38" TargetMode="External"/><Relationship Id="rId23" Type="http://schemas.openxmlformats.org/officeDocument/2006/relationships/hyperlink" Target="https://library.mededtech.ru/rest/documents/KP155_24/#paragraph_j923io" TargetMode="External"/><Relationship Id="rId24" Type="http://schemas.openxmlformats.org/officeDocument/2006/relationships/hyperlink" Target="https://library.mededtech.ru/rest/documents/KP155_24/#list_item_m5f4gh" TargetMode="External"/><Relationship Id="rId25" Type="http://schemas.openxmlformats.org/officeDocument/2006/relationships/hyperlink" Target="https://library.mededtech.ru/rest/documents/KP155_24/#list_item_mrogbv" TargetMode="External"/><Relationship Id="rId26" Type="http://schemas.openxmlformats.org/officeDocument/2006/relationships/hyperlink" Target="https://library.mededtech.ru/rest/documents/KP155_24/#list_item_63igg7" TargetMode="External"/><Relationship Id="rId27" Type="http://schemas.openxmlformats.org/officeDocument/2006/relationships/hyperlink" Target="https://library.mededtech.ru/rest/documents/KP752/" TargetMode="External"/><Relationship Id="rId28" Type="http://schemas.openxmlformats.org/officeDocument/2006/relationships/hyperlink" Target="https://library.mededtech.ru/rest/documents/KP752/#tab_b1" TargetMode="External"/><Relationship Id="rId29" Type="http://schemas.openxmlformats.org/officeDocument/2006/relationships/hyperlink" Target="https://library.mededtech.ru/rest/documents/KP155_24/#list_item_klc6cj" TargetMode="External"/><Relationship Id="rId30" Type="http://schemas.openxmlformats.org/officeDocument/2006/relationships/image" Target="media/image1.png"/><Relationship Id="rId31" Type="http://schemas.openxmlformats.org/officeDocument/2006/relationships/hyperlink" Target="https://library.mededtech.ru/rest/documents/COVID-19_V17/" TargetMode="External"/><Relationship Id="rId32" Type="http://schemas.openxmlformats.org/officeDocument/2006/relationships/hyperlink" Target="https://library.mededtech.ru/rest/documents/COVID-19_V17/#paragraph_bbkvns" TargetMode="External"/><Relationship Id="rId33" Type="http://schemas.openxmlformats.org/officeDocument/2006/relationships/hyperlink" Target="https://library.mededtech.ru/rest/documents/COVID-19_V17/#paragraph_1vn041" TargetMode="External"/><Relationship Id="rId34" Type="http://schemas.openxmlformats.org/officeDocument/2006/relationships/hyperlink" Target="https://library.mededtech.ru/rest/documents/COVID-19_V17/#3_&#1050;&#1083;&#1080;&#1085;&#1080;&#1095;&#1077;&#1089;&#1082;&#1080;&#1077;_&#1086;&#1089;&#1086;&#1073;&#1077;&#1085;&#1085;&#1086;&#1089;&#1090;&#1080;" TargetMode="External"/><Relationship Id="rId35" Type="http://schemas.openxmlformats.org/officeDocument/2006/relationships/hyperlink" Target="https://library.mededtech.ru/rest/documents/COVID-19_V17/#paragraph_m1eh1p" TargetMode="External"/><Relationship Id="rId36" Type="http://schemas.openxmlformats.org/officeDocument/2006/relationships/hyperlink" Target="https://library.mededtech.ru/rest/documents/COVID-19_V17/#paragraph_08c40k" TargetMode="External"/><Relationship Id="rId37" Type="http://schemas.openxmlformats.org/officeDocument/2006/relationships/hyperlink" Target="https://library.mededtech.ru/rest/documents/COVID-19_V17/#paragraph_b35j0r" TargetMode="External"/><Relationship Id="rId38" Type="http://schemas.openxmlformats.org/officeDocument/2006/relationships/hyperlink" Target="https://library.mededtech.ru/rest/documents/COVID-19_V17/#paragraph_bh7rra" TargetMode="External"/><Relationship Id="rId39" Type="http://schemas.openxmlformats.org/officeDocument/2006/relationships/hyperlink" Target="https://library.mededtech.ru/rest/documents/COVID-19_V17/#paragraph_6npru7" TargetMode="External"/><Relationship Id="rId40" Type="http://schemas.openxmlformats.org/officeDocument/2006/relationships/hyperlink" Target="https://library.mededtech.ru/rest/documents/COVID-19_V17/#paragraph_2p1uth" TargetMode="External"/><Relationship Id="rId41" Type="http://schemas.openxmlformats.org/officeDocument/2006/relationships/hyperlink" Target="https://library.mededtech.ru/rest/documents/COVID-19_V17/#table_69ch3c" TargetMode="External"/><Relationship Id="rId42" Type="http://schemas.openxmlformats.org/officeDocument/2006/relationships/hyperlink" Target="https://library.mededtech.ru/rest/documents/COVID-19_V17/#paragraph_4lpad5" TargetMode="External"/><Relationship Id="rId43" Type="http://schemas.openxmlformats.org/officeDocument/2006/relationships/hyperlink" Target="https://library.mededtech.ru/rest/documents/COVID-19_V17/#list_item_kuk38s" TargetMode="External"/><Relationship Id="rId44" Type="http://schemas.openxmlformats.org/officeDocument/2006/relationships/hyperlink" Target="https://library.mededtech.ru/rest/documents/COVID-19_V17/#paragraph_cjeob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